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67" w:rsidRDefault="00152467" w:rsidP="00152467">
      <w:pPr>
        <w:spacing w:after="0" w:line="240" w:lineRule="auto"/>
        <w:jc w:val="center"/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17 октября 2013 г. N 1155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утверждении</w:t>
      </w:r>
      <w:r>
        <w:rPr>
          <w:color w:val="22272F"/>
          <w:sz w:val="25"/>
          <w:szCs w:val="25"/>
          <w:shd w:val="clear" w:color="auto" w:fill="FFFFFF"/>
        </w:rPr>
        <w:t>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федерального</w:t>
      </w:r>
      <w:r>
        <w:rPr>
          <w:color w:val="22272F"/>
          <w:sz w:val="25"/>
          <w:szCs w:val="25"/>
          <w:shd w:val="clear" w:color="auto" w:fill="FFFFFF"/>
        </w:rPr>
        <w:t>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государственногообразовательного</w:t>
      </w:r>
      <w:r>
        <w:rPr>
          <w:color w:val="22272F"/>
          <w:sz w:val="25"/>
          <w:szCs w:val="25"/>
          <w:shd w:val="clear" w:color="auto" w:fill="FFFFFF"/>
        </w:rPr>
        <w:t>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стандарта</w:t>
      </w:r>
    </w:p>
    <w:p w:rsidR="004D50AF" w:rsidRDefault="00152467" w:rsidP="00152467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 дошкольного образования"</w:t>
      </w:r>
    </w:p>
    <w:p w:rsidR="00152467" w:rsidRDefault="00152467" w:rsidP="00152467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</w:p>
    <w:p w:rsidR="00152467" w:rsidRDefault="00152467" w:rsidP="00152467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</w:p>
    <w:p w:rsidR="00152467" w:rsidRPr="00152467" w:rsidRDefault="00152467" w:rsidP="00152467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15246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616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 6 части 1 статьи 6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5" w:anchor="/document/70392898/entry/15241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подпунктом 5.2.41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 </w:t>
      </w:r>
      <w:hyperlink r:id="rId7" w:anchor="/document/70429496/entry/1007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 7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Правил разработки,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утверждения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федеральныхгосударственных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образовательных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стандартов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 внесения в них изменений, утвержденных </w:t>
      </w:r>
      <w:hyperlink r:id="rId8" w:anchor="/document/70429496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Утвердить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прилагаемый </w:t>
      </w:r>
      <w:hyperlink r:id="rId9" w:anchor="/document/70512244/entry/100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федеральный государственныйобразовательный стандарт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дошкольного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образования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0" w:anchor="/document/197482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23 ноября 2009 г. N 655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"Об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утверждении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 введении в действие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федеральных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государственных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1" w:anchor="/document/55172575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20 июля 2011 г. N 2151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"Об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утверждении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федеральныхгосударственных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требований к условиям реализации основной общеобразовательной программы дошкольного </w:t>
      </w:r>
      <w:r w:rsidRPr="00152467">
        <w:rPr>
          <w:rFonts w:ascii="Times New Roman" w:eastAsia="Times New Roman" w:hAnsi="Times New Roman" w:cs="Times New Roman"/>
          <w:color w:val="22272F"/>
          <w:sz w:val="18"/>
          <w:lang w:eastAsia="ru-RU"/>
        </w:rPr>
        <w:t>образования</w:t>
      </w: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" (зарегистрирован Министерством юстиции Российской Федерации 14 ноября 2011 г., регистрационный N 22303).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Настоящий приказ вступает в силу с 1 января 2014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52467" w:rsidRPr="00152467" w:rsidTr="00152467">
        <w:tc>
          <w:tcPr>
            <w:tcW w:w="3300" w:type="pct"/>
            <w:vAlign w:val="bottom"/>
            <w:hideMark/>
          </w:tcPr>
          <w:p w:rsidR="00152467" w:rsidRPr="00152467" w:rsidRDefault="00152467" w:rsidP="00152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52467" w:rsidRPr="00152467" w:rsidRDefault="00152467" w:rsidP="001524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152467" w:rsidRPr="00152467" w:rsidRDefault="00152467" w:rsidP="0015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14 ноября 2013 г.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30384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Федеральный</w:t>
      </w: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государственный</w:t>
      </w: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15246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образовательныйстандарт</w:t>
      </w: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дошкольного образования</w:t>
      </w: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</w:t>
      </w:r>
      <w:r w:rsidRPr="0015246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утв</w:t>
      </w: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 </w:t>
      </w:r>
      <w:hyperlink r:id="rId12" w:anchor="/document/70512244/entry/0" w:history="1">
        <w:r w:rsidRPr="0015246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приказом</w:t>
        </w:r>
      </w:hyperlink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Министерства </w:t>
      </w:r>
      <w:r w:rsidRPr="0015246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образования</w:t>
      </w: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 науки РФ от 17 октября 2013 г. N 1155)</w:t>
      </w:r>
    </w:p>
    <w:p w:rsidR="00152467" w:rsidRPr="00152467" w:rsidRDefault="00152467" w:rsidP="00152467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15246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152467" w:rsidRPr="00152467" w:rsidRDefault="00152467" w:rsidP="0015246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 </w:t>
      </w:r>
      <w:hyperlink r:id="rId13" w:anchor="/document/70629422/entry/1000" w:history="1">
        <w:r w:rsidRPr="0015246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Комментарии</w:t>
        </w:r>
      </w:hyperlink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к настоящему </w:t>
      </w:r>
      <w:r w:rsidRPr="00152467">
        <w:rPr>
          <w:rFonts w:ascii="Times New Roman" w:eastAsia="Times New Roman" w:hAnsi="Times New Roman" w:cs="Times New Roman"/>
          <w:color w:val="464C55"/>
          <w:sz w:val="16"/>
          <w:lang w:eastAsia="ru-RU"/>
        </w:rPr>
        <w:t>государственному</w:t>
      </w:r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образовательному </w:t>
      </w:r>
      <w:r w:rsidRPr="00152467">
        <w:rPr>
          <w:rFonts w:ascii="Times New Roman" w:eastAsia="Times New Roman" w:hAnsi="Times New Roman" w:cs="Times New Roman"/>
          <w:color w:val="464C55"/>
          <w:sz w:val="16"/>
          <w:lang w:eastAsia="ru-RU"/>
        </w:rPr>
        <w:t>стандарту</w:t>
      </w:r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дошкольного образования, направленные </w:t>
      </w:r>
      <w:hyperlink r:id="rId14" w:anchor="/document/70629422/entry/0" w:history="1">
        <w:r w:rsidRPr="0015246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письмом</w:t>
        </w:r>
      </w:hyperlink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Минобрнауки России от 28 февраля 2014 г. N 08-249</w:t>
      </w:r>
    </w:p>
    <w:p w:rsidR="00152467" w:rsidRPr="00152467" w:rsidRDefault="00152467" w:rsidP="00152467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 </w:t>
      </w:r>
      <w:hyperlink r:id="rId15" w:anchor="/document/5632903/entry/0" w:history="1">
        <w:r w:rsidRPr="0015246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справку</w:t>
        </w:r>
      </w:hyperlink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о </w:t>
      </w:r>
      <w:r w:rsidRPr="00152467">
        <w:rPr>
          <w:rFonts w:ascii="Times New Roman" w:eastAsia="Times New Roman" w:hAnsi="Times New Roman" w:cs="Times New Roman"/>
          <w:color w:val="464C55"/>
          <w:sz w:val="16"/>
          <w:lang w:eastAsia="ru-RU"/>
        </w:rPr>
        <w:t>федеральных</w:t>
      </w:r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государственных образовательных стандартах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Общие положения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1.2. Стандарт разработан на основе </w:t>
      </w:r>
      <w:hyperlink r:id="rId16" w:anchor="/document/10103000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Конституции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</w:t>
      </w:r>
      <w:hyperlink r:id="rId17" w:anchor="/document/70512244/entry/991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*(1)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 законодательства Российской Федерации и с учётом </w:t>
      </w:r>
      <w:hyperlink r:id="rId18" w:anchor="/document/2540422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Конвенции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ООН о правах ребенка</w:t>
      </w:r>
      <w:hyperlink r:id="rId19" w:anchor="/document/70512244/entry/992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*(2)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в основе которых заложены следующие основные принципы: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уважение личности ребенка;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1.3. В Стандарте учитываются: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возможности освоения ребенком Программы на разных этапах ее реализации.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1.4. Основные принципы дошкольного образования: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поддержка инициативы детей в различных видах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сотрудничество Организации с семьей;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9) учет этнокультурной ситуации развития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1.5. Стандарт направлен на достижение следующих целей: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повышение социального статуса дошкольного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1.6. Стандарт направлен на решение следующих задач: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1.7. Стандарт является основой для: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разработки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1.8. Стандарт включает в себя требования к: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структуре Программы и ее объему;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условиям реализации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результатам освоения Программы.</w:t>
      </w:r>
    </w:p>
    <w:p w:rsidR="00152467" w:rsidRPr="00152467" w:rsidRDefault="00152467" w:rsidP="0015246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1.9 изменен с 25 февраля 2019 г. - </w:t>
      </w:r>
      <w:hyperlink r:id="rId20" w:anchor="/document/72173562/entry/1000" w:history="1">
        <w:r w:rsidRPr="0015246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</w:t>
        </w:r>
      </w:hyperlink>
      <w:r w:rsidRPr="00152467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Минпросвещения России от 21 января 2019 г. N 31</w:t>
      </w:r>
    </w:p>
    <w:p w:rsidR="00152467" w:rsidRPr="00152467" w:rsidRDefault="00152467" w:rsidP="00152467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1" w:anchor="/document/77677348/entry/19" w:history="1">
        <w:r w:rsidRPr="00152467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См. предыдущую редакцию</w:t>
        </w:r>
      </w:hyperlink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2" w:anchor="/document/70512244/entry/16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пункте 1.6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Стандарта.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2.4. Программа направлена на: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23" w:anchor="/document/70512244/entry/993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*(3)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Программа может реализовываться в течение всего времени пребывания</w:t>
      </w:r>
      <w:hyperlink r:id="rId24" w:anchor="/document/70512244/entry/994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*(4)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детей в Организации.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социально-коммуникативное развитие;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познавательное развитие;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речевое развитие;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художественно-эстетическое развитие;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физическое развитие.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1) предметно-пространственная развивающая образовательная среда;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характер взаимодействия со взрослыми;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характер взаимодействия с другими детьми;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система отношений ребенка к миру, к другим людям, к себе самому.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5" w:anchor="/document/70512244/entry/25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2.5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Стандарта).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Пояснительная записка должна раскрывать: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цели и задачи реализации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принципы и подходы к формированию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Содержательный раздел Программы должен включать: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 </w:t>
      </w:r>
      <w:hyperlink r:id="rId26" w:anchor="/document/71320184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примерных основных образовательных программ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дошкольного образования и методических пособий, обеспечивающих реализацию данного содержания;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содержательном разделе Программы должны быть представлены: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особенности образовательной деятельности разных видов и культурных практик;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способы и направления поддержки детской инициативы;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в) особенности взаимодействия педагогического коллектива с семьями воспитанников;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сложившиеся традиции Организации или Группы.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Коррекционная работа и/или инклюзивное образование должны быть направлены на: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27" w:anchor="/document/70512244/entry/211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 2.11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Стандарта, в случае если она не соответствует одной из примерных программ.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краткой презентации Программы должны быть указаны: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используемые Примерные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характеристика взаимодействия педагогического коллектива с семьями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гарантирует охрану и укрепление физического и психического здоровья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обеспечивает эмоциональное благополучие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способствует профессиональному развитию педагогических работников;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создает условия для развивающего вариативного дошкольного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обеспечивает открытость дошкольного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7) защита детей от всех форм физического и психического насилия</w:t>
      </w:r>
      <w:hyperlink r:id="rId28" w:anchor="/document/70512244/entry/995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*(5)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оптимизации работы с группой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обеспечение эмоционального благополучия через: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непосредственное общение с каждым ребенком;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уважительное отношение к каждому ребенку, к его чувствам и потребностям;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поддержку индивидуальности и инициативы детей через: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принятия детьми решений, выражения своих чувств и мыслей;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установление правил взаимодействия в разных ситуациях: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развитие умения детей работать в группе сверстников;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овладения культурными средствами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индивидуального развития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3.2.6. В целях эффективной реализации Программы должны быть созданы условия для: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3.2.8. Организация должна создавать возможности: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3.2.9. Максимально допустимый объем образовательной нагрузки должен соответствовать </w:t>
      </w:r>
      <w:hyperlink r:id="rId29" w:anchor="/document/70414724/entry/100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санитарно-эпидемиологическим правилам и нормативам СанПиН 2.4.1.3049-13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30" w:anchor="/document/70414724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 Требования к развивающей предметно-пространственной среде.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3.3.3. Развивающая предметно-пространственная среда должна обеспечивать: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реализацию различных образовательных программ;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организации инклюзивного образования - необходимые для него условия;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учет возрастных особенностей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возможность самовыражения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Полифункциональность материалов предполагает: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Вариативность среды предполагает: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Доступность среды предполагает: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исправность и сохранность материалов и оборудования.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 Требования к кадровым условиям реализации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31" w:anchor="/document/199499/entry/100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Едином квалификационном справочнике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32" w:anchor="/document/199499/entry/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33" w:anchor="/document/55171672/entry/100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34" w:anchor="/document/70512244/entry/325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п. 3.2.5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Стандарта.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3.4.4. При организации инклюзивного образования: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35" w:anchor="/document/70512244/entry/996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*(6)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3.5.1. Требования к материально-техническим условиям реализации Программы включают: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требования, определяемые в соответствии с правилами пожарной безопасности;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4) оснащенность помещений развивающей предметно-пространственной средой;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3.6.2. Финансовые условия реализации Программы должны: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расходов на оплату труда работников, реализующих Программу;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иных расходов, связанных с реализацией и обеспечением реализации Программы.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36" w:anchor="/document/70512244/entry/997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*(7)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7" w:anchor="/document/70512244/entry/998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*(8)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4.4. Настоящие требования являются ориентирами для: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решения задач: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формирования Программы;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анализа профессиональной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взаимодействия с семьями;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изучения характеристик образования детей в возрасте от 2 месяцев до 8 лет;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аттестацию педагогических кадров;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качества образования;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распределение стимулирующего фонда оплаты труда работников Организации.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Целевые ориентиры образования в младенческом и раннем возрасте: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проявляет интерес к сверстникам; наблюдает за их действиями и подражает им;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Целевые ориентиры на этапе завершения дошкольного образования: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152467" w:rsidRPr="00152467" w:rsidRDefault="00152467" w:rsidP="0015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152467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*(2) Сборник международных договоров СССР, 1993, выпуск XLVI.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*(3) </w:t>
      </w:r>
      <w:hyperlink r:id="rId38" w:anchor="/document/70291362/entry/108170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6 статьи 12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 </w:t>
      </w:r>
      <w:hyperlink r:id="rId39" w:anchor="/document/70291362/entry/108404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 9 части 1 статьи 34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 </w:t>
      </w:r>
      <w:hyperlink r:id="rId40" w:anchor="/document/179146/entry/1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Статья 1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*(7) С учетом положений </w:t>
      </w:r>
      <w:hyperlink r:id="rId41" w:anchor="/document/70291362/entry/108146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части 2 статьи 11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152467" w:rsidRPr="00152467" w:rsidRDefault="00152467" w:rsidP="0015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*(8) </w:t>
      </w:r>
      <w:hyperlink r:id="rId42" w:anchor="/document/70291362/entry/108761" w:history="1">
        <w:r w:rsidRPr="00152467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 2 статьи 64</w:t>
        </w:r>
      </w:hyperlink>
      <w:r w:rsidRPr="0015246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152467" w:rsidRDefault="00152467" w:rsidP="00152467">
      <w:pPr>
        <w:spacing w:after="0" w:line="240" w:lineRule="auto"/>
        <w:jc w:val="both"/>
      </w:pPr>
    </w:p>
    <w:sectPr w:rsidR="00152467" w:rsidSect="004D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467"/>
    <w:rsid w:val="00152467"/>
    <w:rsid w:val="004D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AF"/>
  </w:style>
  <w:style w:type="paragraph" w:styleId="4">
    <w:name w:val="heading 4"/>
    <w:basedOn w:val="a"/>
    <w:link w:val="40"/>
    <w:uiPriority w:val="9"/>
    <w:qFormat/>
    <w:rsid w:val="00152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4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24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467"/>
    <w:rPr>
      <w:color w:val="0000FF"/>
      <w:u w:val="single"/>
    </w:rPr>
  </w:style>
  <w:style w:type="paragraph" w:customStyle="1" w:styleId="s16">
    <w:name w:val="s_16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2467"/>
  </w:style>
  <w:style w:type="paragraph" w:customStyle="1" w:styleId="s3">
    <w:name w:val="s_3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4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3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71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26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70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51576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8653</Words>
  <Characters>49324</Characters>
  <Application>Microsoft Office Word</Application>
  <DocSecurity>0</DocSecurity>
  <Lines>411</Lines>
  <Paragraphs>115</Paragraphs>
  <ScaleCrop>false</ScaleCrop>
  <Company/>
  <LinksUpToDate>false</LinksUpToDate>
  <CharactersWithSpaces>57862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2019-11-30T18:38:00Z</dcterms:created>
  <dcterms:modified xsi:type="dcterms:W3CDTF">2019-11-30T18:41:00Z</dcterms:modified>
</cp:coreProperties>
</file>